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24" w:rsidRDefault="00DE2C24" w:rsidP="00DE2C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Your prediction task is to predict the selling price of homes in Polk County, IA given a set of predictors.  The training dataset consists of approximately </w:t>
      </w:r>
      <w:r>
        <w:rPr>
          <w:rFonts w:ascii="Palatino Linotype" w:hAnsi="Palatino Linotype"/>
          <w:i/>
          <w:sz w:val="24"/>
          <w:szCs w:val="24"/>
        </w:rPr>
        <w:t xml:space="preserve">n = 6,000 </w:t>
      </w:r>
      <w:r>
        <w:rPr>
          <w:rFonts w:ascii="Palatino Linotype" w:hAnsi="Palatino Linotype"/>
          <w:sz w:val="24"/>
          <w:szCs w:val="24"/>
        </w:rPr>
        <w:t xml:space="preserve">homes recently sold in the county.  The test data set consists of approximately 4,000 homes which you will of course only have the potential predictor values for.   </w:t>
      </w:r>
      <w:r>
        <w:rPr>
          <w:rFonts w:ascii="Palatino Linotype" w:hAnsi="Palatino Linotype"/>
          <w:sz w:val="24"/>
          <w:szCs w:val="24"/>
        </w:rPr>
        <w:t>The variable descriptions are given below.</w:t>
      </w:r>
    </w:p>
    <w:p w:rsidR="00DE2C24" w:rsidRDefault="00DE2C24" w:rsidP="00DE2C24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E2C24" w:rsidRPr="00610D72" w:rsidRDefault="00DE2C24" w:rsidP="00DE2C24">
      <w:pPr>
        <w:rPr>
          <w:rFonts w:ascii="Courier New" w:hAnsi="Courier New" w:cs="Courier New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7173"/>
      </w:tblGrid>
      <w:tr w:rsidR="00DE2C24" w:rsidTr="0029655A">
        <w:tc>
          <w:tcPr>
            <w:tcW w:w="0" w:type="auto"/>
            <w:shd w:val="clear" w:color="auto" w:fill="FFF2CC" w:themeFill="accent4" w:themeFillTint="33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sz w:val="24"/>
                <w:szCs w:val="24"/>
              </w:rPr>
              <w:t>Variable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E2C24" w:rsidRPr="00461041" w:rsidRDefault="00DE2C24" w:rsidP="0029655A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461041">
              <w:rPr>
                <w:rFonts w:ascii="Palatino Linotype" w:hAnsi="Palatino Linotype"/>
                <w:b/>
                <w:sz w:val="24"/>
                <w:szCs w:val="24"/>
              </w:rPr>
              <w:t>Description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P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rice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 (Y)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This is the response for the prediction problem and is the price the home sold for in U.S. dollars ($).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juris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This is a categorical variable which denotes the region/city within Polk County the home was in.  The codes are:</w:t>
            </w:r>
          </w:p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 w:rsidRPr="00461041">
              <w:rPr>
                <w:rFonts w:ascii="Palatino Linotype" w:hAnsi="Palatino Linotype"/>
                <w:sz w:val="18"/>
                <w:szCs w:val="24"/>
              </w:rPr>
              <w:t>AL = Altoona, ANK = Ankeny, BO = Bondurant, CL = Clive, DM = Des Moines, GR = Grimes, JO = Johnston, O = Other, PC = Polk City, PH = Pleasant Hill, UR = Urbandale, WDM = West Des Moines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month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Month the home sale occurred (1 = January, …, 12 = December)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deed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 = Deed or 0 = Contract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bldg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full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Assessed value of building(s) on the lot. ($)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total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full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Assessed value of entire property (land and structures) ($)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 xml:space="preserve">transact 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Type of transaction type (AL = </w:t>
            </w:r>
            <w:proofErr w:type="spellStart"/>
            <w:r>
              <w:rPr>
                <w:rFonts w:ascii="Palatino Linotype" w:hAnsi="Palatino Linotype"/>
                <w:sz w:val="24"/>
                <w:szCs w:val="24"/>
              </w:rPr>
              <w:t>arms length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, F = foreclosure, O = other)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land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acres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Lot size in acres.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residence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0" w:type="auto"/>
          </w:tcPr>
          <w:p w:rsidR="00DE2C24" w:rsidRPr="00AD45CE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0"/>
                <w:szCs w:val="24"/>
              </w:rPr>
              <w:t xml:space="preserve">Residence Type - </w:t>
            </w:r>
            <w:r w:rsidRPr="00AD45CE">
              <w:rPr>
                <w:rFonts w:ascii="Palatino Linotype" w:hAnsi="Palatino Linotype"/>
                <w:sz w:val="20"/>
                <w:szCs w:val="24"/>
              </w:rPr>
              <w:t>1.5 Stories, 2 Stories, 1 Story with Finished Attic, 1 Story with Unfinished Attic, 1 Story,  Over 2 Stories, Partial Construction, Split Foyer, Split Level, Other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bldg.style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Split, Ranch, Other, Early 20s, Conv (conventional), Bungalow 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ext.wall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Material used to construct exterior walls – 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  <w:r w:rsidRPr="00AD45CE">
              <w:rPr>
                <w:rFonts w:ascii="Palatino Linotype" w:hAnsi="Palatino Linotype"/>
                <w:sz w:val="20"/>
                <w:szCs w:val="24"/>
              </w:rPr>
              <w:t xml:space="preserve">Wood, Vinyl, Metal, Hardboard, </w:t>
            </w:r>
            <w:proofErr w:type="spellStart"/>
            <w:r w:rsidRPr="00AD45CE">
              <w:rPr>
                <w:rFonts w:ascii="Palatino Linotype" w:hAnsi="Palatino Linotype"/>
                <w:sz w:val="20"/>
                <w:szCs w:val="24"/>
              </w:rPr>
              <w:t>Conc.Board</w:t>
            </w:r>
            <w:proofErr w:type="spellEnd"/>
            <w:r w:rsidRPr="00AD45CE">
              <w:rPr>
                <w:rFonts w:ascii="Palatino Linotype" w:hAnsi="Palatino Linotype"/>
                <w:sz w:val="20"/>
                <w:szCs w:val="24"/>
              </w:rPr>
              <w:t>, Brick, Other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percent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brick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Percentage of house that is brick, ranges from 0 – 100.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roof.type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Gable, Hip, Other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main.living.area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main living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upper.living.area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upper living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fin.attic.area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finished attic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total.living.area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Total square foot living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unfin.attic.area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unfinished attic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foundation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Material used to construct foundation –</w:t>
            </w:r>
          </w:p>
          <w:p w:rsidR="00DE2C24" w:rsidRPr="00CC4F8E" w:rsidRDefault="00DE2C24" w:rsidP="0029655A">
            <w:pPr>
              <w:rPr>
                <w:rFonts w:ascii="Palatino Linotype" w:hAnsi="Palatino Linotype"/>
                <w:sz w:val="18"/>
                <w:szCs w:val="24"/>
              </w:rPr>
            </w:pPr>
            <w:r>
              <w:rPr>
                <w:rFonts w:ascii="Palatino Linotype" w:hAnsi="Palatino Linotype"/>
                <w:sz w:val="18"/>
                <w:szCs w:val="24"/>
              </w:rPr>
              <w:t>Poured Concrete, Concrete Block, Brick, Other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basement.area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basement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fin.bsmt.area.tot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finished basement area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bsmt.walkout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Lineal feet of exposed wall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bsmt.gar.capacity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cars (capacity) that fit in basement garage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lastRenderedPageBreak/>
              <w:t>att.garage.area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attached garage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open.porch.area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all attached open porches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enclose.porch.area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all attached enclosed porches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patio.area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all patio areas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deck.area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all deck areas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canopy.area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Square foot of all canopies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veneer.area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Lineal feet of brick veneer on house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carport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Is there are carport? (1 = yes, 0 = no)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bathrooms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full or ¾ baths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toilet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rooms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½ baths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extra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fixtures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extra fixtures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whirlpools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whirlpool tubs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fireplaces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fireplaces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bedrooms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Number of bedrooms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rooms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Total number of rooms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year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built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Year home was built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gasair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Homes has gas furnace with forced air heat (1 = yes, 0 = no)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air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conditioning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Percent of central air conditioning (ranges 0 = none to 100 = full)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detached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Are there detached structures? (1 = yes, 0 = no)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bsmt.qual</w:t>
            </w:r>
            <w:proofErr w:type="spellEnd"/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Basement quality – </w:t>
            </w:r>
          </w:p>
          <w:p w:rsidR="00DE2C24" w:rsidRPr="00263BF1" w:rsidRDefault="00DE2C24" w:rsidP="0029655A">
            <w:pPr>
              <w:rPr>
                <w:rFonts w:ascii="Palatino Linotype" w:hAnsi="Palatino Linotype"/>
                <w:sz w:val="18"/>
                <w:szCs w:val="24"/>
              </w:rPr>
            </w:pPr>
            <w:r>
              <w:rPr>
                <w:rFonts w:ascii="Palatino Linotype" w:hAnsi="Palatino Linotype"/>
                <w:sz w:val="18"/>
                <w:szCs w:val="24"/>
              </w:rPr>
              <w:t>None (i.e. no basement), Average, Average Plus, Living Quarters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condition</w:t>
            </w:r>
          </w:p>
        </w:tc>
        <w:tc>
          <w:tcPr>
            <w:tcW w:w="0" w:type="auto"/>
          </w:tcPr>
          <w:p w:rsidR="00DE2C24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The condition of the house for its age and type of construction</w:t>
            </w:r>
          </w:p>
          <w:p w:rsidR="00DE2C24" w:rsidRPr="00263BF1" w:rsidRDefault="00DE2C24" w:rsidP="0029655A">
            <w:pPr>
              <w:rPr>
                <w:rFonts w:ascii="Palatino Linotype" w:hAnsi="Palatino Linotype"/>
                <w:sz w:val="18"/>
                <w:szCs w:val="24"/>
              </w:rPr>
            </w:pPr>
            <w:r>
              <w:rPr>
                <w:rFonts w:ascii="Palatino Linotype" w:hAnsi="Palatino Linotype"/>
                <w:sz w:val="18"/>
                <w:szCs w:val="24"/>
              </w:rPr>
              <w:t>1 = Very poor, 2 = Poor, 3 = Below Normal, 4 = Normal, 5 = Above Normal, 6 = Very Good, 7 = Excellent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sz w:val="18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The quality of construction ranging from 1 to 6, with 1 being the best  </w:t>
            </w:r>
            <w:r>
              <w:rPr>
                <w:rFonts w:ascii="Palatino Linotype" w:hAnsi="Palatino Linotype"/>
                <w:sz w:val="18"/>
                <w:szCs w:val="24"/>
              </w:rPr>
              <w:t>(notice it uses an opposite ordering than condition)</w:t>
            </w:r>
          </w:p>
        </w:tc>
      </w:tr>
      <w:tr w:rsidR="00DE2C24" w:rsidTr="0029655A"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proofErr w:type="spellStart"/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grade</w:t>
            </w:r>
            <w:r>
              <w:rPr>
                <w:rFonts w:ascii="Palatino Linotype" w:hAnsi="Palatino Linotype"/>
                <w:b/>
                <w:i/>
                <w:sz w:val="24"/>
                <w:szCs w:val="24"/>
              </w:rPr>
              <w:t>.</w:t>
            </w:r>
            <w:r w:rsidRPr="00263BF1">
              <w:rPr>
                <w:rFonts w:ascii="Palatino Linotype" w:hAnsi="Palatino Linotype"/>
                <w:b/>
                <w:i/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0" w:type="auto"/>
          </w:tcPr>
          <w:p w:rsidR="00DE2C24" w:rsidRPr="00263BF1" w:rsidRDefault="00DE2C24" w:rsidP="0029655A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An adjustment made between different grades above – adjusts up or down on the grade scale above.   The </w:t>
            </w:r>
            <w:r w:rsidRPr="00263BF1">
              <w:rPr>
                <w:rFonts w:ascii="Palatino Linotype" w:hAnsi="Palatino Linotype"/>
                <w:sz w:val="24"/>
                <w:szCs w:val="24"/>
                <w:u w:val="single"/>
              </w:rPr>
              <w:t>smaller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the adjusted grade value the better the quality of the original construction.</w:t>
            </w:r>
          </w:p>
        </w:tc>
      </w:tr>
    </w:tbl>
    <w:p w:rsidR="00DE2C24" w:rsidRDefault="00DE2C24" w:rsidP="00DE2C24">
      <w:pPr>
        <w:rPr>
          <w:rFonts w:ascii="Palatino Linotype" w:hAnsi="Palatino Linotype"/>
          <w:sz w:val="24"/>
          <w:szCs w:val="24"/>
        </w:rPr>
      </w:pPr>
    </w:p>
    <w:p w:rsidR="00270620" w:rsidRPr="00DE2C24" w:rsidRDefault="00DE2C2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traini</w:t>
      </w:r>
      <w:r>
        <w:rPr>
          <w:rFonts w:ascii="Palatino Linotype" w:hAnsi="Palatino Linotype"/>
          <w:sz w:val="24"/>
          <w:szCs w:val="24"/>
        </w:rPr>
        <w:t>ng cases are located in the .csv</w:t>
      </w:r>
      <w:r>
        <w:rPr>
          <w:rFonts w:ascii="Palatino Linotype" w:hAnsi="Palatino Linotype"/>
          <w:sz w:val="24"/>
          <w:szCs w:val="24"/>
        </w:rPr>
        <w:t xml:space="preserve"> file linked to my website in a file called </w:t>
      </w:r>
      <w:r>
        <w:rPr>
          <w:rFonts w:ascii="Palatino Linotype" w:hAnsi="Palatino Linotype"/>
          <w:sz w:val="24"/>
          <w:szCs w:val="24"/>
        </w:rPr>
        <w:br/>
      </w:r>
      <w:proofErr w:type="gramStart"/>
      <w:r>
        <w:rPr>
          <w:rFonts w:ascii="Palatino Linotype" w:hAnsi="Palatino Linotype"/>
          <w:b/>
          <w:color w:val="000099"/>
          <w:sz w:val="24"/>
          <w:szCs w:val="24"/>
        </w:rPr>
        <w:t>Polk(</w:t>
      </w:r>
      <w:proofErr w:type="gramEnd"/>
      <w:r>
        <w:rPr>
          <w:rFonts w:ascii="Palatino Linotype" w:hAnsi="Palatino Linotype"/>
          <w:b/>
          <w:color w:val="000099"/>
          <w:sz w:val="24"/>
          <w:szCs w:val="24"/>
        </w:rPr>
        <w:t>train)</w:t>
      </w:r>
      <w:r w:rsidRPr="004466F1">
        <w:rPr>
          <w:rFonts w:ascii="Palatino Linotype" w:hAnsi="Palatino Linotype"/>
          <w:b/>
          <w:color w:val="000099"/>
          <w:sz w:val="24"/>
          <w:szCs w:val="24"/>
        </w:rPr>
        <w:t>.csv</w:t>
      </w:r>
      <w:r>
        <w:rPr>
          <w:rFonts w:ascii="Palatino Linotype" w:hAnsi="Palatino Linotype"/>
          <w:b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the </w:t>
      </w:r>
      <w:r>
        <w:rPr>
          <w:rFonts w:ascii="Palatino Linotype" w:hAnsi="Palatino Linotype"/>
          <w:sz w:val="24"/>
          <w:szCs w:val="24"/>
        </w:rPr>
        <w:t xml:space="preserve">test cases are in </w:t>
      </w:r>
      <w:r w:rsidRPr="00DE2C24">
        <w:rPr>
          <w:rFonts w:ascii="Palatino Linotype" w:hAnsi="Palatino Linotype"/>
          <w:b/>
          <w:color w:val="0000CC"/>
          <w:sz w:val="24"/>
          <w:szCs w:val="24"/>
        </w:rPr>
        <w:t>Polk(test)</w:t>
      </w:r>
      <w:r w:rsidRPr="00084323">
        <w:rPr>
          <w:rFonts w:ascii="Palatino Linotype" w:hAnsi="Palatino Linotype"/>
          <w:b/>
          <w:color w:val="000099"/>
          <w:sz w:val="24"/>
          <w:szCs w:val="24"/>
        </w:rPr>
        <w:t>.csv</w:t>
      </w:r>
      <w:r w:rsidRPr="00084323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</w:t>
      </w:r>
    </w:p>
    <w:sectPr w:rsidR="00270620" w:rsidRPr="00DE2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4"/>
    <w:rsid w:val="00270620"/>
    <w:rsid w:val="00D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49198-DE19-435C-8428-E2939F41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Deppa, Brant</dc:creator>
  <cp:keywords/>
  <dc:description/>
  <cp:lastModifiedBy>Deppa, Brant</cp:lastModifiedBy>
  <cp:revision>1</cp:revision>
  <dcterms:created xsi:type="dcterms:W3CDTF">2016-05-19T12:59:00Z</dcterms:created>
  <dcterms:modified xsi:type="dcterms:W3CDTF">2016-05-19T13:01:00Z</dcterms:modified>
</cp:coreProperties>
</file>